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57BD4" w:rsidRDefault="00DD5B06">
      <w:pPr>
        <w:pStyle w:val="Title"/>
      </w:pPr>
      <w:r>
        <w:t>Property Identity and Reification</w:t>
      </w:r>
      <w:bookmarkStart w:id="0" w:name="_GoBack"/>
      <w:bookmarkEnd w:id="0"/>
    </w:p>
    <w:p w:rsidR="00A57BD4" w:rsidRDefault="00CF1F6B">
      <w:pPr>
        <w:pStyle w:val="Author"/>
      </w:pPr>
      <w:r>
        <w:t>Paul Oppenheimer</w:t>
      </w:r>
    </w:p>
    <w:p w:rsidR="00A57BD4" w:rsidRDefault="00CF1F6B">
      <w:pPr>
        <w:pStyle w:val="Heading1"/>
      </w:pPr>
      <w:bookmarkStart w:id="1" w:name="keywords"/>
      <w:r>
        <w:t>Keywords</w:t>
      </w:r>
      <w:bookmarkEnd w:id="1"/>
    </w:p>
    <w:p w:rsidR="00A57BD4" w:rsidRDefault="00CF1F6B">
      <w:pPr>
        <w:pStyle w:val="FirstParagraph"/>
      </w:pPr>
      <w:r>
        <w:t xml:space="preserve">properties; </w:t>
      </w:r>
      <w:r w:rsidR="0040057E">
        <w:t xml:space="preserve">property </w:t>
      </w:r>
      <w:r>
        <w:t>identity;</w:t>
      </w:r>
      <w:r w:rsidR="00603D69">
        <w:t xml:space="preserve"> reification</w:t>
      </w:r>
      <w:r w:rsidR="0040057E">
        <w:t>; modes of predication; abstract objects</w:t>
      </w:r>
    </w:p>
    <w:p w:rsidR="00A57BD4" w:rsidRDefault="00CF1F6B">
      <w:pPr>
        <w:pStyle w:val="Heading1"/>
      </w:pPr>
      <w:bookmarkStart w:id="2" w:name="introduction"/>
      <w:r>
        <w:t>Introduction</w:t>
      </w:r>
      <w:bookmarkEnd w:id="2"/>
    </w:p>
    <w:p w:rsidR="00A57BD4" w:rsidRDefault="00CF1F6B">
      <w:pPr>
        <w:pStyle w:val="FirstParagraph"/>
      </w:pPr>
      <w:r>
        <w:t xml:space="preserve">The target article uses the metaphysics of properties to make its </w:t>
      </w:r>
      <w:r>
        <w:t>meta-ethical claims. This comment discusses two general points in the metaphysics of properties.</w:t>
      </w:r>
    </w:p>
    <w:p w:rsidR="00A57BD4" w:rsidRDefault="00CF1F6B">
      <w:pPr>
        <w:pStyle w:val="BodyText"/>
      </w:pPr>
      <w:r>
        <w:t>The first point has to do with the conditions for property identity. Philosophers who accept the existence of properties have proposed a variety of criteria fo</w:t>
      </w:r>
      <w:r>
        <w:t xml:space="preserve">r their identity. A brief survey can be found in the Stanford Encyclopedia entry ‘Properties’ [Orilia </w:t>
      </w:r>
      <w:r w:rsidR="00603D69">
        <w:t>and</w:t>
      </w:r>
      <w:r>
        <w:t xml:space="preserve"> Swoyer 2017: sec. 6]. The standard Broome applies is </w:t>
      </w:r>
      <w:r>
        <w:rPr>
          <w:i/>
        </w:rPr>
        <w:t>medium coarse</w:t>
      </w:r>
      <w:r>
        <w:t xml:space="preserve"> in the terminology of that article. This is only one of many standards for property i</w:t>
      </w:r>
      <w:r>
        <w:t>dentity. The suggestion here is that other standards for property identity could be evaluated for their appropriateness for addressing the questions in the metaphysics of ethics with which Broome is concerned in the target article, and that use of a formal</w:t>
      </w:r>
      <w:r>
        <w:t>ized theory of properties might help in such an evaluation.</w:t>
      </w:r>
    </w:p>
    <w:p w:rsidR="00A57BD4" w:rsidRDefault="00CF1F6B">
      <w:pPr>
        <w:pStyle w:val="BodyText"/>
      </w:pPr>
      <w:r>
        <w:t xml:space="preserve">The second point has to do with Broome’s suggestion of a distinction between a property and a reified property. A suggestion will be offered for a range of ways such a distinction could be filled </w:t>
      </w:r>
      <w:r>
        <w:t>out using the resources of a formalized theory of properties and objects. Objects will be proposed that could serve as Broome’s reified properties.</w:t>
      </w:r>
    </w:p>
    <w:p w:rsidR="00A57BD4" w:rsidRDefault="00CF1F6B">
      <w:pPr>
        <w:pStyle w:val="Heading1"/>
      </w:pPr>
      <w:bookmarkStart w:id="3" w:name="property-identity"/>
      <w:r>
        <w:t>Property Identity</w:t>
      </w:r>
      <w:bookmarkEnd w:id="3"/>
    </w:p>
    <w:p w:rsidR="00A57BD4" w:rsidRDefault="00CF1F6B">
      <w:pPr>
        <w:pStyle w:val="FirstParagraph"/>
      </w:pPr>
      <w:r>
        <w:t>Broome’s central claim in the target article [Broome 2020] is that the property of rationa</w:t>
      </w:r>
      <w:r>
        <w:t>lity and the property of normativity are two different properties. Broome extends his claim that the properties differ to a claim that their requirements differ. Broome argues that if the requirements of rationality and the requirements of normativity were</w:t>
      </w:r>
      <w:r>
        <w:t xml:space="preserve"> the same, then rationality and normativity would be one property. To do this, Broome argues that if the requirements were the </w:t>
      </w:r>
      <w:r w:rsidR="001357F0">
        <w:t>same,</w:t>
      </w:r>
      <w:r>
        <w:t xml:space="preserve"> they would be so necessarily, so that an agent who conforms to the requirements of rationality necessarily conforms to the r</w:t>
      </w:r>
      <w:r>
        <w:t>equirements of normativity, and vice-versa. That would make the property of rationality and the property of normativity necessarily coextensive. He then concludes that the properties would be identical. Broome’s argument for property identity from necessar</w:t>
      </w:r>
      <w:r>
        <w:t xml:space="preserve">y requirements identity depends on a </w:t>
      </w:r>
      <w:r w:rsidR="001357F0">
        <w:rPr>
          <w:i/>
        </w:rPr>
        <w:t>coarse graining</w:t>
      </w:r>
      <w:r>
        <w:t xml:space="preserve"> of property identity to necessary coextension.</w:t>
      </w:r>
    </w:p>
    <w:p w:rsidR="00A57BD4" w:rsidRDefault="00CF1F6B">
      <w:pPr>
        <w:pStyle w:val="BodyText"/>
      </w:pPr>
      <w:r>
        <w:lastRenderedPageBreak/>
        <w:t>Let’s take another moment to explore the range of granularity of property identity conditions. We will not explore here in detail the ‘ultra-fine’ standards</w:t>
      </w:r>
      <w:r>
        <w:t xml:space="preserve"> of property identity that are more appropriate to work in semantics and philosophy of language, where one may need to distinguish between the property of being red and square and the property of being square and red. We will instead look at standards of p</w:t>
      </w:r>
      <w:r>
        <w:t>roperty identity intermediate in strictness between the standard of necessary coextension and some of the extremely tight standards of identity that have been proposed.</w:t>
      </w:r>
    </w:p>
    <w:p w:rsidR="00A57BD4" w:rsidRDefault="00CF1F6B">
      <w:pPr>
        <w:pStyle w:val="BodyText"/>
      </w:pPr>
      <w:r>
        <w:t>Elliott Sober [Sober 1982] gives an example of two different properties that are necess</w:t>
      </w:r>
      <w:r>
        <w:t xml:space="preserve">arily coextensive. The grounds Sober gives for thinking that the two necessarily coextensive properties are distinct is that individuals with the properties are differently situated nomologically. This is what Orilia and Swoyer call a </w:t>
      </w:r>
      <w:r>
        <w:rPr>
          <w:i/>
        </w:rPr>
        <w:t>medium-fine</w:t>
      </w:r>
      <w:r>
        <w:t xml:space="preserve"> standard </w:t>
      </w:r>
      <w:r>
        <w:t>for property identity [Orilia &amp; Swoyer 2017]. I will vary Sober’s example slightly. Consider the property of quadrilaterality, that is, the property of being a closed plane figure with four straight sides. Consider also the property of quadrangularity, tha</w:t>
      </w:r>
      <w:r>
        <w:t>t is, the property of being a closed plane figure with straight sides and four interior angles. We could build a quadrangle detector that works in two phases. First, it checks for straight sides and closure. Then, it checks for four angles.</w:t>
      </w:r>
    </w:p>
    <w:p w:rsidR="00A57BD4" w:rsidRDefault="00CF1F6B">
      <w:pPr>
        <w:pStyle w:val="BodyText"/>
      </w:pPr>
      <w:r>
        <w:t xml:space="preserve">Let us take it </w:t>
      </w:r>
      <w:r>
        <w:t>here as uncontroversial that the properties of quadrangularity and quadrilaterality as here defined are necessarily coextensive.</w:t>
      </w:r>
    </w:p>
    <w:p w:rsidR="00A57BD4" w:rsidRDefault="00CF1F6B">
      <w:pPr>
        <w:pStyle w:val="BodyText"/>
      </w:pPr>
      <w:r>
        <w:t>The two-phase detector, given a quadrilateral object, will detect that it is a quadrangle. However, it is detected as such beca</w:t>
      </w:r>
      <w:r>
        <w:t>use it is a quadrangle, and not because it is a quadrilateral. An open piece with five straight sides and four angles, similar to a pentagonal piece but with one side too short to close the figure, would pass the second phase of the detector (given a suita</w:t>
      </w:r>
      <w:r>
        <w:t xml:space="preserve">ble definition of </w:t>
      </w:r>
      <w:r>
        <w:rPr>
          <w:i/>
        </w:rPr>
        <w:t>interior angle</w:t>
      </w:r>
      <w:r>
        <w:t xml:space="preserve"> for an open figure), although not the first; so also would four open pieces each with two straight sides and one angle. It is the property of being quadrangular that gives a quadrangular quadrilateral object the power to pa</w:t>
      </w:r>
      <w:r>
        <w:t>ss the detector, not the property of being quadrilateral. Or, to borrow Broome’s language of requirements, the property of being quadrangular is one of the direct requirements for passing the two-phase detector; the property of being quadrilateral is not.</w:t>
      </w:r>
    </w:p>
    <w:p w:rsidR="00A57BD4" w:rsidRDefault="00CF1F6B">
      <w:pPr>
        <w:pStyle w:val="BodyText"/>
      </w:pPr>
      <w:r>
        <w:t xml:space="preserve">The adoption of a </w:t>
      </w:r>
      <w:r>
        <w:rPr>
          <w:i/>
        </w:rPr>
        <w:t>medium-coarse</w:t>
      </w:r>
      <w:r>
        <w:t xml:space="preserve"> standard for property identity requires an argument. In many discussions it is more appropriate to apply a finer-grained standard of property identity than mere necessary coextension. Further development of Broome’s argument</w:t>
      </w:r>
      <w:r>
        <w:t xml:space="preserve"> should explain why such </w:t>
      </w:r>
      <w:r w:rsidR="001357F0">
        <w:t>coarse graining</w:t>
      </w:r>
      <w:r>
        <w:t xml:space="preserve"> is appropriate in this context of distinguishing foundational meta-ethical properties.</w:t>
      </w:r>
    </w:p>
    <w:p w:rsidR="00A57BD4" w:rsidRDefault="00CF1F6B">
      <w:pPr>
        <w:pStyle w:val="BodyText"/>
      </w:pPr>
      <w:r>
        <w:t>If some finer-grained conditions on property identity are better in this realm, that of course would not weaken Broome’s central</w:t>
      </w:r>
      <w:r>
        <w:t xml:space="preserve"> claim that rationality and normativity, as properties of agents, are different properties. Depending on the details, it might even strengthen that claim. However, it would undermine the subsidiary argument to the effect that the requirements on an agent </w:t>
      </w:r>
      <w:r w:rsidR="001357F0">
        <w:t>for</w:t>
      </w:r>
      <w:r>
        <w:t xml:space="preserve"> the agent to be rational and the requirements on an agent </w:t>
      </w:r>
      <w:r w:rsidR="001357F0">
        <w:t>for</w:t>
      </w:r>
      <w:r>
        <w:t xml:space="preserve"> the agent to be normative are different requirements. If the property of normativity and the property of rationality could be different properties while necessarily being ex</w:t>
      </w:r>
      <w:r>
        <w:t xml:space="preserve">emplified by </w:t>
      </w:r>
      <w:r>
        <w:lastRenderedPageBreak/>
        <w:t>all and only the same agents, then Broome’s argument from the diversity of the properties to the diversity of requirements would fail.</w:t>
      </w:r>
    </w:p>
    <w:p w:rsidR="00A57BD4" w:rsidRDefault="00CF1F6B">
      <w:pPr>
        <w:pStyle w:val="BodyText"/>
      </w:pPr>
      <w:r>
        <w:t>One way for Broome to refine his argument might be to adopt a criterion of identity for properties important</w:t>
      </w:r>
      <w:r>
        <w:t xml:space="preserve"> in meta-ethical discussion that is finer than necessary coextension but coarser than the very finest criteria such as are most likely to arise in discussions of philosophy of language. In some discussions in philosophy of science, for example, properties </w:t>
      </w:r>
      <w:r>
        <w:t>are identified when possession of them enables the possessor to exercise the same causal powers and to receive the same effects, as in the discussion by Sober cited above. Although proceeding in exactly that way might not fit well here, it might be possibl</w:t>
      </w:r>
      <w:r>
        <w:t>e to modify it in some more appropriate direction.</w:t>
      </w:r>
    </w:p>
    <w:p w:rsidR="00A57BD4" w:rsidRDefault="00CF1F6B">
      <w:pPr>
        <w:pStyle w:val="BodyText"/>
      </w:pPr>
      <w:r>
        <w:t>One way to undertake such a modification might be, very loosely speaking, to transpose one of the conditions of property identity appropriate in the philosophy of science from the realm of causes to the re</w:t>
      </w:r>
      <w:r>
        <w:t>alm of reasons. Because of space limitations in this peer commentary, this suggestion is only a sketch of how Broome’s subsidiary argument from distinctness of properties to distinctness of requirements might be clarified by giving a justification for a ch</w:t>
      </w:r>
      <w:r>
        <w:t>osen criterion of property identity.</w:t>
      </w:r>
    </w:p>
    <w:p w:rsidR="00A57BD4" w:rsidRDefault="00CF1F6B">
      <w:pPr>
        <w:pStyle w:val="BodyText"/>
      </w:pPr>
      <w:r>
        <w:t xml:space="preserve">While no article can argue for all the philosophical machinery it uses, the target article does give considerable attention to the metaphysics of properties, and even to the semantics of property expressions. </w:t>
      </w:r>
      <w:r w:rsidR="001357F0">
        <w:t>So,</w:t>
      </w:r>
      <w:r>
        <w:t xml:space="preserve"> it migh</w:t>
      </w:r>
      <w:r>
        <w:t>t be in order to strengthen it by arguing for the criterion of property identity chosen.</w:t>
      </w:r>
    </w:p>
    <w:p w:rsidR="00A57BD4" w:rsidRDefault="00CF1F6B">
      <w:pPr>
        <w:pStyle w:val="Heading1"/>
      </w:pPr>
      <w:bookmarkStart w:id="4" w:name="reified-properties"/>
      <w:r>
        <w:t>Reified Properties</w:t>
      </w:r>
      <w:bookmarkEnd w:id="4"/>
    </w:p>
    <w:p w:rsidR="00A57BD4" w:rsidRDefault="00CF1F6B">
      <w:pPr>
        <w:pStyle w:val="FirstParagraph"/>
      </w:pPr>
      <w:r>
        <w:t>Broome’s main argument for the claim that the properties are different is that rationality supervenes on the mind whereas normativity depends also o</w:t>
      </w:r>
      <w:r>
        <w:t>n facts external to the mind. In considering what he calls a Kantian argument to the conclusion that rationality is not determined solely by facts about the mind, but rather also depends on external facts, Broome introduces a distinction between a property</w:t>
      </w:r>
      <w:r>
        <w:t xml:space="preserve"> and a reified property, using a change of case in the name of the property to denote the reified property. (Broome uses </w:t>
      </w:r>
      <w:r>
        <w:rPr>
          <w:i/>
        </w:rPr>
        <w:t>Rationality</w:t>
      </w:r>
      <w:r>
        <w:t>, with an upper-case initial letter, to denote the reified property.) Broome does not in this paper offer a metaphysical the</w:t>
      </w:r>
      <w:r>
        <w:t xml:space="preserve">ory of properties and their reifications that would clarify how what the reified property prescribes can differ from what is necessary in order to satisfy the property. Broome’s suggestive talk of reification of a property could be made more precise using </w:t>
      </w:r>
      <w:r>
        <w:t>the resources of an axiomatic theory of properties and objects.</w:t>
      </w:r>
    </w:p>
    <w:p w:rsidR="00A57BD4" w:rsidRDefault="00CF1F6B">
      <w:pPr>
        <w:pStyle w:val="BodyText"/>
      </w:pPr>
      <w:r>
        <w:t>Broadly Meinongian theories of predication that distinguish two modes of predication have been introduced by Castañeda [Castañeda 1972], Rapaport [Rapaport 1978], and Zalta [Zalta 1983], among</w:t>
      </w:r>
      <w:r>
        <w:t xml:space="preserve"> others. These modes are sometimes called </w:t>
      </w:r>
      <w:r>
        <w:rPr>
          <w:i/>
        </w:rPr>
        <w:t>internal</w:t>
      </w:r>
      <w:r>
        <w:t xml:space="preserve"> and </w:t>
      </w:r>
      <w:r>
        <w:rPr>
          <w:i/>
        </w:rPr>
        <w:t>external</w:t>
      </w:r>
      <w:r>
        <w:t xml:space="preserve"> predication.</w:t>
      </w:r>
    </w:p>
    <w:p w:rsidR="00A57BD4" w:rsidRDefault="00CF1F6B">
      <w:pPr>
        <w:pStyle w:val="BodyText"/>
      </w:pPr>
      <w:r>
        <w:t xml:space="preserve">External predication is the mode in which properties are predicated of ordinary objects, as when it is said that Pinkerton is a detective, or that Bessie is a cow, or that a copy </w:t>
      </w:r>
      <w:r>
        <w:t xml:space="preserve">of </w:t>
      </w:r>
      <w:r>
        <w:rPr>
          <w:i/>
        </w:rPr>
        <w:t>Principia Mathematica</w:t>
      </w:r>
      <w:r>
        <w:t xml:space="preserve"> is well-worn. Philosophers who recognize a second mode of predication hold that some objects, such as the Euclidean plane quadrilateral, the winged </w:t>
      </w:r>
      <w:r>
        <w:lastRenderedPageBreak/>
        <w:t>horse, or Sherlock Holmes, are in some wise constituted by properties that we predi</w:t>
      </w:r>
      <w:r>
        <w:t>cate of them internally. They may also have other properties in the ordinary (external) way. ‘Sherlock Holmes is a fictional character’, ‘Agatha Christie was inspired by Sherlock Holmes to create Poirot’, ‘The Euclidean plane quadrilateral has been thought</w:t>
      </w:r>
      <w:r>
        <w:t xml:space="preserve"> about by many generations of students’, and other predications of this kind predicate properties of such objects externally. The properties thus predicated in no way are involved in the identity of the object of which they are predicated.</w:t>
      </w:r>
    </w:p>
    <w:p w:rsidR="00A57BD4" w:rsidRDefault="00CF1F6B">
      <w:pPr>
        <w:pStyle w:val="BodyText"/>
      </w:pPr>
      <w:r>
        <w:t>The internal pre</w:t>
      </w:r>
      <w:r>
        <w:t>dication of quadrilaterality of the Euclidean plane quadrilateral, as in ‘the Euclidean plane quadrilateral has four straight sides’ is in a different mode from external predication, as in ‘I am thinking about the Euclidean plane quadrilateral’, or ‘no qua</w:t>
      </w:r>
      <w:r>
        <w:t>drilateral spatio-temporally located material object is the Euclidean plane quadrilateral’.</w:t>
      </w:r>
    </w:p>
    <w:p w:rsidR="00A57BD4" w:rsidRDefault="00CF1F6B">
      <w:pPr>
        <w:pStyle w:val="BodyText"/>
      </w:pPr>
      <w:r>
        <w:t xml:space="preserve">If Pinkerton retires, then Pinkerton is still Pinkerton even though he is no longer a detective. If the Euclidean plane quadrilateral, </w:t>
      </w:r>
      <w:r>
        <w:rPr>
          <w:i/>
        </w:rPr>
        <w:t>per impossibile</w:t>
      </w:r>
      <w:r>
        <w:t>, loses one of</w:t>
      </w:r>
      <w:r>
        <w:t xml:space="preserve"> its four sides, then it is no longer a quadrilateral. One way to tell the difference between internal and external predication is to see that every internal predication is necessary. But the distinction between internal and external predication is not the</w:t>
      </w:r>
      <w:r>
        <w:t xml:space="preserve"> distinction between necessity and contingency. Note that it is necessary that Sherlock Holmes has the property of being a fictional character but that is not an internal predication. There is not enough space here to expand further on the distinction betw</w:t>
      </w:r>
      <w:r>
        <w:t>een internal and external predication; much more is said in the works cited, and in other works in the broadly Meinongian tradition that distinguishes between internal and external modes of predication.</w:t>
      </w:r>
    </w:p>
    <w:p w:rsidR="00A57BD4" w:rsidRDefault="00CF1F6B">
      <w:pPr>
        <w:pStyle w:val="BodyText"/>
      </w:pPr>
      <w:r>
        <w:t>This enriched treatment of predication opens new ways</w:t>
      </w:r>
      <w:r>
        <w:t xml:space="preserve"> to specify objects and can be used to clarify what is meant by Broome’s reified properties.</w:t>
      </w:r>
    </w:p>
    <w:p w:rsidR="00A57BD4" w:rsidRDefault="00CF1F6B">
      <w:pPr>
        <w:pStyle w:val="BodyText"/>
      </w:pPr>
      <w:r>
        <w:t xml:space="preserve">In Zalta’s axiomatic theory of properties and objects, internal predication is </w:t>
      </w:r>
      <w:r>
        <w:rPr>
          <w:i/>
        </w:rPr>
        <w:t>encoding</w:t>
      </w:r>
      <w:r>
        <w:t xml:space="preserve"> predication and external predication is </w:t>
      </w:r>
      <w:r>
        <w:rPr>
          <w:i/>
        </w:rPr>
        <w:t>exemplification</w:t>
      </w:r>
      <w:r>
        <w:t xml:space="preserve"> predication. These </w:t>
      </w:r>
      <w:r>
        <w:t>terms for the two modes will be used below.</w:t>
      </w:r>
    </w:p>
    <w:p w:rsidR="00A57BD4" w:rsidRDefault="00CF1F6B">
      <w:pPr>
        <w:pStyle w:val="BodyText"/>
      </w:pPr>
      <w:r>
        <w:t>In Zalta’s axiomatic versions of this approach, for any collection of properties that can be picked out by a formula of the language, there is an object that encodes all and only the properties so picked out. Thi</w:t>
      </w:r>
      <w:r>
        <w:t>s provides, in the presence of the data called to our attention by Broome, objects that can do the jobs his reified properties are meant to do. There is an object that encodes exactly the property of rationality, and no other property. There is an object t</w:t>
      </w:r>
      <w:r>
        <w:t>hat encodes all and only the properties necessarily implied by the property of rationality. Which of these objects can play the role of Broome’s reified Rationality would need to be worked out. Perhaps neither of them can, and some other object, derived in</w:t>
      </w:r>
      <w:r>
        <w:t xml:space="preserve"> some more complicated way from the property of rationality, can.</w:t>
      </w:r>
    </w:p>
    <w:p w:rsidR="00A57BD4" w:rsidRDefault="00CF1F6B">
      <w:pPr>
        <w:pStyle w:val="BodyText"/>
      </w:pPr>
      <w:r>
        <w:t xml:space="preserve">Most axiomatic systems of properties contain a comprehension principle </w:t>
      </w:r>
      <w:r>
        <w:t>of some kind, suitably guarded against paradox. Zalta’s system contains in addition a comprehension principle for encoding objects. That principle is what says that the encoding objects mentioned above exist.</w:t>
      </w:r>
    </w:p>
    <w:p w:rsidR="00A57BD4" w:rsidRDefault="00CF1F6B">
      <w:pPr>
        <w:pStyle w:val="BodyText"/>
      </w:pPr>
      <w:r>
        <w:lastRenderedPageBreak/>
        <w:t xml:space="preserve">To symbolize the two modes of predication, the </w:t>
      </w:r>
      <w:r>
        <w:t>formal language of object theory [Zalta 1983] uses two kinds of atomic formulas:</w:t>
      </w:r>
    </w:p>
    <w:p w:rsidR="00A57BD4" w:rsidRDefault="00CF1F6B" w:rsidP="00D6651E">
      <m:oMath>
        <m:sSup>
          <m:sSupPr>
            <m:ctrlPr>
              <w:rPr>
                <w:rFonts w:ascii="Cambria Math" w:hAnsi="Cambria Math"/>
              </w:rPr>
            </m:ctrlPr>
          </m:sSupPr>
          <m:e>
            <m:r>
              <w:rPr>
                <w:rFonts w:ascii="Cambria Math" w:hAnsi="Cambria Math"/>
              </w:rPr>
              <m:t>F</m:t>
            </m:r>
          </m:e>
          <m:sup>
            <m:r>
              <w:rPr>
                <w:rFonts w:ascii="Cambria Math" w:hAnsi="Cambria Math"/>
              </w:rPr>
              <m:t>n</m:t>
            </m:r>
          </m:sup>
        </m:sSup>
        <m:sSub>
          <m:sSubPr>
            <m:ctrlPr>
              <w:rPr>
                <w:rFonts w:ascii="Cambria Math" w:hAnsi="Cambria Math"/>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n</m:t>
            </m:r>
          </m:sub>
        </m:sSub>
      </m:oMath>
      <w:r>
        <w:t xml:space="preserve"> (for </w:t>
      </w:r>
      <m:oMath>
        <m:r>
          <w:rPr>
            <w:rFonts w:ascii="Cambria Math" w:hAnsi="Cambria Math"/>
          </w:rPr>
          <m:t>n</m:t>
        </m:r>
        <m:r>
          <w:rPr>
            <w:rFonts w:ascii="Cambria Math" w:hAnsi="Cambria Math"/>
          </w:rPr>
          <m:t>≥0</m:t>
        </m:r>
      </m:oMath>
      <w:r>
        <w:t>)</w:t>
      </w:r>
    </w:p>
    <w:p w:rsidR="00A57BD4" w:rsidRDefault="00CF1F6B" w:rsidP="00D6651E">
      <w:pPr>
        <w:ind w:left="720"/>
      </w:pPr>
      <w:r>
        <w:t>These are the atomic (</w:t>
      </w:r>
      <w:r w:rsidRPr="00BE7B21">
        <w:rPr>
          <w:i/>
          <w:iCs/>
        </w:rPr>
        <w:t>exemplification</w:t>
      </w:r>
      <w:r>
        <w:t xml:space="preserve">) formulas of standard formal logic. When </w:t>
      </w:r>
      <m:oMath>
        <m:r>
          <w:rPr>
            <w:rFonts w:ascii="Cambria Math" w:hAnsi="Cambria Math"/>
          </w:rPr>
          <m:t>n</m:t>
        </m:r>
        <m:r>
          <w:rPr>
            <w:rFonts w:ascii="Cambria Math" w:hAnsi="Cambria Math"/>
          </w:rPr>
          <m:t>≥1</m:t>
        </m:r>
      </m:oMath>
      <w:r>
        <w:t xml:space="preserve">, these are read as </w:t>
      </w:r>
      <m:oMath>
        <m:sSub>
          <m:sSubPr>
            <m:ctrlPr>
              <w:rPr>
                <w:rFonts w:ascii="Cambria Math" w:hAnsi="Cambria Math"/>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n</m:t>
            </m:r>
          </m:sub>
        </m:sSub>
      </m:oMath>
      <w:r>
        <w:t xml:space="preserve"> </w:t>
      </w:r>
      <w:r>
        <w:rPr>
          <w:i/>
        </w:rPr>
        <w:t>exemplify</w:t>
      </w:r>
      <w:r>
        <w:t xml:space="preserve"> </w:t>
      </w:r>
      <m:oMath>
        <m:sSup>
          <m:sSupPr>
            <m:ctrlPr>
              <w:rPr>
                <w:rFonts w:ascii="Cambria Math" w:hAnsi="Cambria Math"/>
              </w:rPr>
            </m:ctrlPr>
          </m:sSupPr>
          <m:e>
            <m:r>
              <w:rPr>
                <w:rFonts w:ascii="Cambria Math" w:hAnsi="Cambria Math"/>
              </w:rPr>
              <m:t>F</m:t>
            </m:r>
          </m:e>
          <m:sup>
            <m:r>
              <w:rPr>
                <w:rFonts w:ascii="Cambria Math" w:hAnsi="Cambria Math"/>
              </w:rPr>
              <m:t>n</m:t>
            </m:r>
          </m:sup>
        </m:sSup>
      </m:oMath>
      <w:r>
        <w:t xml:space="preserve"> and when </w:t>
      </w:r>
      <m:oMath>
        <m:r>
          <w:rPr>
            <w:rFonts w:ascii="Cambria Math" w:hAnsi="Cambria Math"/>
          </w:rPr>
          <m:t>n</m:t>
        </m:r>
        <m:r>
          <w:rPr>
            <w:rFonts w:ascii="Cambria Math" w:hAnsi="Cambria Math"/>
          </w:rPr>
          <m:t>=0</m:t>
        </m:r>
      </m:oMath>
      <w:r>
        <w:t xml:space="preserve">, as </w:t>
      </w:r>
      <m:oMath>
        <m:sSup>
          <m:sSupPr>
            <m:ctrlPr>
              <w:rPr>
                <w:rFonts w:ascii="Cambria Math" w:hAnsi="Cambria Math"/>
              </w:rPr>
            </m:ctrlPr>
          </m:sSupPr>
          <m:e>
            <m:r>
              <w:rPr>
                <w:rFonts w:ascii="Cambria Math" w:hAnsi="Cambria Math"/>
              </w:rPr>
              <m:t>F</m:t>
            </m:r>
          </m:e>
          <m:sup>
            <m:r>
              <w:rPr>
                <w:rFonts w:ascii="Cambria Math" w:hAnsi="Cambria Math"/>
              </w:rPr>
              <m:t>0</m:t>
            </m:r>
          </m:sup>
        </m:sSup>
      </m:oMath>
      <w:r>
        <w:t xml:space="preserve"> </w:t>
      </w:r>
      <w:r w:rsidRPr="00BE7B21">
        <w:rPr>
          <w:i/>
          <w:iCs/>
        </w:rPr>
        <w:t>is true</w:t>
      </w:r>
      <w:r>
        <w:t>.</w:t>
      </w:r>
    </w:p>
    <w:p w:rsidR="00A57BD4" w:rsidRDefault="00CF1F6B" w:rsidP="00D6651E">
      <m:oMathPara>
        <m:oMath>
          <m:r>
            <w:rPr>
              <w:rFonts w:ascii="Cambria Math" w:hAnsi="Cambria Math"/>
            </w:rPr>
            <m:t>x</m:t>
          </m:r>
          <m:sSup>
            <m:sSupPr>
              <m:ctrlPr>
                <w:rPr>
                  <w:rFonts w:ascii="Cambria Math" w:hAnsi="Cambria Math"/>
                </w:rPr>
              </m:ctrlPr>
            </m:sSupPr>
            <m:e>
              <m:r>
                <w:rPr>
                  <w:rFonts w:ascii="Cambria Math" w:hAnsi="Cambria Math"/>
                </w:rPr>
                <m:t>F</m:t>
              </m:r>
            </m:e>
            <m:sup>
              <m:r>
                <w:rPr>
                  <w:rFonts w:ascii="Cambria Math" w:hAnsi="Cambria Math"/>
                </w:rPr>
                <m:t>1</m:t>
              </m:r>
            </m:sup>
          </m:sSup>
        </m:oMath>
      </m:oMathPara>
    </w:p>
    <w:p w:rsidR="00A57BD4" w:rsidRDefault="00CF1F6B" w:rsidP="00D6651E">
      <w:pPr>
        <w:ind w:left="720"/>
      </w:pPr>
      <w:r>
        <w:t xml:space="preserve">These are new, monadic atomic (‘encoding’) formulas. These are read as </w:t>
      </w:r>
      <m:oMath>
        <m:r>
          <w:rPr>
            <w:rFonts w:ascii="Cambria Math" w:hAnsi="Cambria Math"/>
          </w:rPr>
          <m:t>x</m:t>
        </m:r>
      </m:oMath>
      <w:r>
        <w:t xml:space="preserve"> </w:t>
      </w:r>
      <w:r>
        <w:rPr>
          <w:i/>
        </w:rPr>
        <w:t>encodes</w:t>
      </w:r>
      <w:r>
        <w:t xml:space="preserve"> </w:t>
      </w:r>
      <m:oMath>
        <m:sSup>
          <m:sSupPr>
            <m:ctrlPr>
              <w:rPr>
                <w:rFonts w:ascii="Cambria Math" w:hAnsi="Cambria Math"/>
              </w:rPr>
            </m:ctrlPr>
          </m:sSupPr>
          <m:e>
            <m:r>
              <w:rPr>
                <w:rFonts w:ascii="Cambria Math" w:hAnsi="Cambria Math"/>
              </w:rPr>
              <m:t>F</m:t>
            </m:r>
          </m:e>
          <m:sup>
            <m:r>
              <w:rPr>
                <w:rFonts w:ascii="Cambria Math" w:hAnsi="Cambria Math"/>
              </w:rPr>
              <m:t>1</m:t>
            </m:r>
          </m:sup>
        </m:sSup>
      </m:oMath>
      <w:r>
        <w:t xml:space="preserve">. (We can usually drop the superscript 1 in the expression </w:t>
      </w:r>
      <m:oMath>
        <m:sSup>
          <m:sSupPr>
            <m:ctrlPr>
              <w:rPr>
                <w:rFonts w:ascii="Cambria Math" w:hAnsi="Cambria Math"/>
              </w:rPr>
            </m:ctrlPr>
          </m:sSupPr>
          <m:e>
            <m:r>
              <w:rPr>
                <w:rFonts w:ascii="Cambria Math" w:hAnsi="Cambria Math"/>
              </w:rPr>
              <m:t>F</m:t>
            </m:r>
          </m:e>
          <m:sup>
            <m:r>
              <w:rPr>
                <w:rFonts w:ascii="Cambria Math" w:hAnsi="Cambria Math"/>
              </w:rPr>
              <m:t>1</m:t>
            </m:r>
          </m:sup>
        </m:sSup>
      </m:oMath>
      <w:r>
        <w:t>, which indicates that a property is regarded as a one-place relation.)</w:t>
      </w:r>
    </w:p>
    <w:p w:rsidR="00A57BD4" w:rsidRDefault="00CF1F6B">
      <w:pPr>
        <w:pStyle w:val="FirstParagraph"/>
      </w:pPr>
      <w:r>
        <w:t>The compr</w:t>
      </w:r>
      <w:r>
        <w:t>ehension principle for encoding objects in the formal system is the following axiom schema:</w:t>
      </w:r>
    </w:p>
    <w:p w:rsidR="00A57BD4" w:rsidRDefault="00CF1F6B" w:rsidP="00D6651E">
      <m:oMath>
        <m:r>
          <w:rPr>
            <w:rFonts w:ascii="Cambria Math" w:hAnsi="Cambria Math"/>
          </w:rPr>
          <m:t>∃</m:t>
        </m:r>
        <m:r>
          <w:rPr>
            <w:rFonts w:ascii="Cambria Math" w:hAnsi="Cambria Math"/>
          </w:rPr>
          <m:t>x</m:t>
        </m:r>
        <m:r>
          <w:rPr>
            <w:rFonts w:ascii="Cambria Math" w:hAnsi="Cambria Math"/>
          </w:rPr>
          <m:t>(</m:t>
        </m:r>
        <m:r>
          <w:rPr>
            <w:rFonts w:ascii="Cambria Math" w:hAnsi="Cambria Math"/>
          </w:rPr>
          <m:t>A</m:t>
        </m:r>
        <m:r>
          <w:rPr>
            <w:rFonts w:ascii="Cambria Math" w:hAnsi="Cambria Math"/>
          </w:rPr>
          <m:t>!</m:t>
        </m:r>
        <m:r>
          <w:rPr>
            <w:rFonts w:ascii="Cambria Math" w:hAnsi="Cambria Math"/>
          </w:rPr>
          <m:t>x</m:t>
        </m:r>
        <m:r>
          <w:rPr>
            <w:rFonts w:ascii="Cambria Math" w:hAnsi="Cambria Math"/>
          </w:rPr>
          <m:t xml:space="preserve"> </m:t>
        </m:r>
        <m:r>
          <w:rPr>
            <w:rFonts w:ascii="Cambria Math" w:hAnsi="Cambria Math"/>
          </w:rPr>
          <m:t>&amp;</m:t>
        </m:r>
        <m:r>
          <w:rPr>
            <w:rFonts w:ascii="Cambria Math" w:hAnsi="Cambria Math"/>
          </w:rPr>
          <m:t xml:space="preserve"> </m:t>
        </m:r>
        <m:r>
          <w:rPr>
            <w:rFonts w:ascii="Cambria Math" w:hAnsi="Cambria Math"/>
          </w:rPr>
          <m:t>∀</m:t>
        </m:r>
        <m:r>
          <w:rPr>
            <w:rFonts w:ascii="Cambria Math" w:hAnsi="Cambria Math"/>
          </w:rPr>
          <m:t>F</m:t>
        </m:r>
        <m:r>
          <w:rPr>
            <w:rFonts w:ascii="Cambria Math" w:hAnsi="Cambria Math"/>
          </w:rPr>
          <m:t>(</m:t>
        </m:r>
        <m:r>
          <w:rPr>
            <w:rFonts w:ascii="Cambria Math" w:hAnsi="Cambria Math"/>
          </w:rPr>
          <m:t>xF</m:t>
        </m:r>
        <m:r>
          <w:rPr>
            <w:rFonts w:ascii="Cambria Math" w:hAnsi="Cambria Math"/>
          </w:rPr>
          <m:t>≡</m:t>
        </m:r>
        <m:r>
          <w:rPr>
            <w:rFonts w:ascii="Cambria Math" w:hAnsi="Cambria Math"/>
          </w:rPr>
          <m:t>ϕ</m:t>
        </m:r>
        <m:r>
          <w:rPr>
            <w:rFonts w:ascii="Cambria Math" w:hAnsi="Cambria Math"/>
          </w:rPr>
          <m:t>))</m:t>
        </m:r>
      </m:oMath>
      <w:r>
        <w:t xml:space="preserve">, for any formula </w:t>
      </w:r>
      <m:oMath>
        <m:r>
          <w:rPr>
            <w:rFonts w:ascii="Cambria Math" w:hAnsi="Cambria Math"/>
          </w:rPr>
          <m:t>ϕ</m:t>
        </m:r>
      </m:oMath>
      <w:r>
        <w:t xml:space="preserve"> in which </w:t>
      </w:r>
      <m:oMath>
        <m:r>
          <w:rPr>
            <w:rFonts w:ascii="Cambria Math" w:hAnsi="Cambria Math"/>
          </w:rPr>
          <m:t>x</m:t>
        </m:r>
      </m:oMath>
      <w:r>
        <w:t xml:space="preserve"> doesn’t occur free</w:t>
      </w:r>
    </w:p>
    <w:p w:rsidR="00A57BD4" w:rsidRDefault="00CF1F6B">
      <w:pPr>
        <w:pStyle w:val="FirstParagraph"/>
      </w:pPr>
      <w:r>
        <w:t xml:space="preserve">The distinguished predicate </w:t>
      </w:r>
      <m:oMath>
        <m:r>
          <w:rPr>
            <w:rFonts w:ascii="Cambria Math" w:hAnsi="Cambria Math"/>
          </w:rPr>
          <m:t>A</m:t>
        </m:r>
        <m:r>
          <w:rPr>
            <w:rFonts w:ascii="Cambria Math" w:hAnsi="Cambria Math"/>
          </w:rPr>
          <m:t>!</m:t>
        </m:r>
      </m:oMath>
      <w:r>
        <w:t xml:space="preserve"> picks out those objects capable of encoding properties (o</w:t>
      </w:r>
      <w:r>
        <w:t xml:space="preserve">r having the properties predicated </w:t>
      </w:r>
      <w:r>
        <w:rPr>
          <w:i/>
        </w:rPr>
        <w:t>internally</w:t>
      </w:r>
      <w:r>
        <w:t xml:space="preserve">, in the language of some other authors). We can call these encoding objects </w:t>
      </w:r>
      <w:r>
        <w:rPr>
          <w:i/>
        </w:rPr>
        <w:t>A-objects</w:t>
      </w:r>
      <w:r>
        <w:t xml:space="preserve">, or, in the language more usually used by Zalta, </w:t>
      </w:r>
      <w:r>
        <w:rPr>
          <w:i/>
        </w:rPr>
        <w:t>abstract objects</w:t>
      </w:r>
      <w:r>
        <w:t xml:space="preserve">. In this phrase as used here, </w:t>
      </w:r>
      <w:r>
        <w:rPr>
          <w:i/>
        </w:rPr>
        <w:t>abstract object</w:t>
      </w:r>
      <w:r>
        <w:t xml:space="preserve"> is a technic</w:t>
      </w:r>
      <w:r>
        <w:t xml:space="preserve">al term; there is not space here to discuss how this usage of the qualifier </w:t>
      </w:r>
      <w:r>
        <w:rPr>
          <w:i/>
        </w:rPr>
        <w:t>abstract</w:t>
      </w:r>
      <w:r>
        <w:t xml:space="preserve"> relates to other uses of the term.</w:t>
      </w:r>
    </w:p>
    <w:p w:rsidR="00A57BD4" w:rsidRDefault="00CF1F6B">
      <w:pPr>
        <w:pStyle w:val="BodyText"/>
      </w:pPr>
      <w:r>
        <w:t>These A-objects have well-defined identity conditions, reflecting the fact that their identity depends only on their internal properties</w:t>
      </w:r>
      <w:r>
        <w:t xml:space="preserve">, the properties they encode, and not on the properties they exemplify, which are not involved in their identity. Thus, if </w:t>
      </w:r>
      <m:oMath>
        <m:r>
          <w:rPr>
            <w:rFonts w:ascii="Cambria Math" w:hAnsi="Cambria Math"/>
          </w:rPr>
          <m:t>x</m:t>
        </m:r>
      </m:oMath>
      <w:r>
        <w:t xml:space="preserve"> and </w:t>
      </w:r>
      <m:oMath>
        <m:r>
          <w:rPr>
            <w:rFonts w:ascii="Cambria Math" w:hAnsi="Cambria Math"/>
          </w:rPr>
          <m:t>y</m:t>
        </m:r>
      </m:oMath>
      <w:r>
        <w:t xml:space="preserve"> are A-objects, </w:t>
      </w:r>
      <m:oMath>
        <m:r>
          <w:rPr>
            <w:rFonts w:ascii="Cambria Math" w:hAnsi="Cambria Math"/>
          </w:rPr>
          <m:t>x</m:t>
        </m:r>
        <m:r>
          <w:rPr>
            <w:rFonts w:ascii="Cambria Math" w:hAnsi="Cambria Math"/>
          </w:rPr>
          <m:t>=</m:t>
        </m:r>
        <m:r>
          <w:rPr>
            <w:rFonts w:ascii="Cambria Math" w:hAnsi="Cambria Math"/>
          </w:rPr>
          <m:t>y</m:t>
        </m:r>
      </m:oMath>
      <w:r>
        <w:t xml:space="preserve"> if and only if:</w:t>
      </w:r>
    </w:p>
    <w:p w:rsidR="00A57BD4" w:rsidRDefault="00CF1F6B" w:rsidP="00D6651E">
      <m:oMathPara>
        <m:oMath>
          <m:r>
            <w:rPr>
              <w:rFonts w:ascii="Cambria Math" w:hAnsi="Cambria Math"/>
            </w:rPr>
            <m:t>∀</m:t>
          </m:r>
          <m:r>
            <w:rPr>
              <w:rFonts w:ascii="Cambria Math" w:hAnsi="Cambria Math"/>
            </w:rPr>
            <m:t>F</m:t>
          </m:r>
          <m:r>
            <w:rPr>
              <w:rFonts w:ascii="Cambria Math" w:hAnsi="Cambria Math"/>
            </w:rPr>
            <m:t>(</m:t>
          </m:r>
          <m:r>
            <w:rPr>
              <w:rFonts w:ascii="Cambria Math" w:hAnsi="Cambria Math"/>
            </w:rPr>
            <m:t>xF</m:t>
          </m:r>
          <m:r>
            <w:rPr>
              <w:rFonts w:ascii="Cambria Math" w:hAnsi="Cambria Math"/>
            </w:rPr>
            <m:t>≡</m:t>
          </m:r>
          <m:r>
            <w:rPr>
              <w:rFonts w:ascii="Cambria Math" w:hAnsi="Cambria Math"/>
            </w:rPr>
            <m:t>yF</m:t>
          </m:r>
          <m:r>
            <w:rPr>
              <w:rFonts w:ascii="Cambria Math" w:hAnsi="Cambria Math"/>
            </w:rPr>
            <m:t>)</m:t>
          </m:r>
        </m:oMath>
      </m:oMathPara>
    </w:p>
    <w:p w:rsidR="00A57BD4" w:rsidRDefault="00CF1F6B">
      <w:pPr>
        <w:pStyle w:val="FirstParagraph"/>
      </w:pPr>
      <w:r>
        <w:t xml:space="preserve">The suggestion here is that it might be possible to flesh out Broome’s </w:t>
      </w:r>
      <w:r>
        <w:t>notion of a reified property by looking among the A-objects of object theory. The two candidates suggested above are the A-object that encodes exactly the property of rationality, and no other property; and the object that encodes all and only the properti</w:t>
      </w:r>
      <w:r>
        <w:t>es necessarily implied by the property of rationality.</w:t>
      </w:r>
    </w:p>
    <w:p w:rsidR="00A57BD4" w:rsidRDefault="00CF1F6B">
      <w:pPr>
        <w:pStyle w:val="BodyText"/>
      </w:pPr>
      <w:r>
        <w:t>The first of those two can be formally designated:</w:t>
      </w:r>
    </w:p>
    <w:p w:rsidR="00A57BD4" w:rsidRDefault="00CF1F6B" w:rsidP="00D6651E">
      <m:oMathPara>
        <m:oMath>
          <m:r>
            <w:rPr>
              <w:rFonts w:ascii="Cambria Math" w:hAnsi="Cambria Math"/>
            </w:rPr>
            <m:t>ıx</m:t>
          </m:r>
          <m:r>
            <w:rPr>
              <w:rFonts w:ascii="Cambria Math" w:hAnsi="Cambria Math"/>
            </w:rPr>
            <m:t>(</m:t>
          </m:r>
          <m:r>
            <w:rPr>
              <w:rFonts w:ascii="Cambria Math" w:hAnsi="Cambria Math"/>
            </w:rPr>
            <m:t>A</m:t>
          </m:r>
          <m:r>
            <w:rPr>
              <w:rFonts w:ascii="Cambria Math" w:hAnsi="Cambria Math"/>
            </w:rPr>
            <m:t>!</m:t>
          </m:r>
          <m:r>
            <w:rPr>
              <w:rFonts w:ascii="Cambria Math" w:hAnsi="Cambria Math"/>
            </w:rPr>
            <m:t>x</m:t>
          </m:r>
          <m:r>
            <w:rPr>
              <w:rFonts w:ascii="Cambria Math" w:hAnsi="Cambria Math"/>
            </w:rPr>
            <m:t> </m:t>
          </m:r>
          <m:r>
            <w:rPr>
              <w:rFonts w:ascii="Cambria Math" w:hAnsi="Cambria Math"/>
            </w:rPr>
            <m:t>&amp; ∀</m:t>
          </m:r>
          <m:r>
            <w:rPr>
              <w:rFonts w:ascii="Cambria Math" w:hAnsi="Cambria Math"/>
            </w:rPr>
            <m:t>F</m:t>
          </m:r>
          <m:r>
            <w:rPr>
              <w:rFonts w:ascii="Cambria Math" w:hAnsi="Cambria Math"/>
            </w:rPr>
            <m:t>(</m:t>
          </m:r>
          <m:r>
            <w:rPr>
              <w:rFonts w:ascii="Cambria Math" w:hAnsi="Cambria Math"/>
            </w:rPr>
            <m:t>xF</m:t>
          </m:r>
          <m:r>
            <w:rPr>
              <w:rFonts w:ascii="Cambria Math" w:hAnsi="Cambria Math"/>
            </w:rPr>
            <m:t>≡</m:t>
          </m:r>
          <m:r>
            <w:rPr>
              <w:rFonts w:ascii="Cambria Math" w:hAnsi="Cambria Math"/>
            </w:rPr>
            <m:t>F</m:t>
          </m:r>
          <m:r>
            <w:rPr>
              <w:rFonts w:ascii="Cambria Math" w:hAnsi="Cambria Math"/>
            </w:rPr>
            <m:t>=[</m:t>
          </m:r>
          <m:r>
            <w:rPr>
              <w:rFonts w:ascii="Cambria Math" w:hAnsi="Cambria Math"/>
            </w:rPr>
            <m:t>λy</m:t>
          </m:r>
          <m:r>
            <w:rPr>
              <w:rFonts w:ascii="Cambria Math" w:hAnsi="Cambria Math"/>
            </w:rPr>
            <m:t> </m:t>
          </m:r>
          <m:r>
            <w:rPr>
              <w:rFonts w:ascii="Cambria Math" w:hAnsi="Cambria Math"/>
            </w:rPr>
            <m:t>y</m:t>
          </m:r>
          <m:r>
            <w:rPr>
              <w:rFonts w:ascii="Cambria Math" w:hAnsi="Cambria Math"/>
            </w:rPr>
            <m:t> </m:t>
          </m:r>
          <m:r>
            <m:rPr>
              <m:sty m:val="p"/>
            </m:rPr>
            <w:rPr>
              <w:rFonts w:ascii="Cambria Math" w:hAnsi="Cambria Math"/>
            </w:rPr>
            <m:t>is</m:t>
          </m:r>
          <m:r>
            <w:rPr>
              <w:rFonts w:ascii="Cambria Math" w:hAnsi="Cambria Math"/>
            </w:rPr>
            <m:t> </m:t>
          </m:r>
          <m:r>
            <m:rPr>
              <m:sty m:val="p"/>
            </m:rPr>
            <w:rPr>
              <w:rFonts w:ascii="Cambria Math" w:hAnsi="Cambria Math"/>
            </w:rPr>
            <m:t>rational</m:t>
          </m:r>
          <m:r>
            <w:rPr>
              <w:rFonts w:ascii="Cambria Math" w:hAnsi="Cambria Math"/>
            </w:rPr>
            <m:t>]</m:t>
          </m:r>
        </m:oMath>
      </m:oMathPara>
    </w:p>
    <w:p w:rsidR="00A57BD4" w:rsidRDefault="00CF1F6B">
      <w:pPr>
        <w:pStyle w:val="FirstParagraph"/>
      </w:pPr>
      <w:r>
        <w:t>The second of them can be designated thus:</w:t>
      </w:r>
    </w:p>
    <w:p w:rsidR="00A57BD4" w:rsidRDefault="00CF1F6B" w:rsidP="00D6651E">
      <m:oMathPara>
        <m:oMath>
          <m:r>
            <w:rPr>
              <w:rFonts w:ascii="Cambria Math" w:hAnsi="Cambria Math"/>
            </w:rPr>
            <m:t>ıx</m:t>
          </m:r>
          <m:r>
            <w:rPr>
              <w:rFonts w:ascii="Cambria Math" w:hAnsi="Cambria Math"/>
            </w:rPr>
            <m:t>(</m:t>
          </m:r>
          <m:r>
            <w:rPr>
              <w:rFonts w:ascii="Cambria Math" w:hAnsi="Cambria Math"/>
            </w:rPr>
            <m:t>A</m:t>
          </m:r>
          <m:r>
            <w:rPr>
              <w:rFonts w:ascii="Cambria Math" w:hAnsi="Cambria Math"/>
            </w:rPr>
            <m:t>!</m:t>
          </m:r>
          <m:r>
            <w:rPr>
              <w:rFonts w:ascii="Cambria Math" w:hAnsi="Cambria Math"/>
            </w:rPr>
            <m:t>x</m:t>
          </m:r>
          <m:r>
            <w:rPr>
              <w:rFonts w:ascii="Cambria Math" w:hAnsi="Cambria Math"/>
            </w:rPr>
            <m:t> </m:t>
          </m:r>
          <m:r>
            <w:rPr>
              <w:rFonts w:ascii="Cambria Math" w:hAnsi="Cambria Math"/>
            </w:rPr>
            <m:t>&amp; ∀</m:t>
          </m:r>
          <m:r>
            <w:rPr>
              <w:rFonts w:ascii="Cambria Math" w:hAnsi="Cambria Math"/>
            </w:rPr>
            <m:t>F</m:t>
          </m:r>
          <m:r>
            <w:rPr>
              <w:rFonts w:ascii="Cambria Math" w:hAnsi="Cambria Math"/>
            </w:rPr>
            <m:t>(</m:t>
          </m:r>
          <m:r>
            <w:rPr>
              <w:rFonts w:ascii="Cambria Math" w:hAnsi="Cambria Math"/>
            </w:rPr>
            <m:t>xF</m:t>
          </m:r>
          <m:r>
            <w:rPr>
              <w:rFonts w:ascii="Cambria Math" w:hAnsi="Cambria Math"/>
            </w:rPr>
            <m:t>≡□∀</m:t>
          </m:r>
          <m:r>
            <w:rPr>
              <w:rFonts w:ascii="Cambria Math" w:hAnsi="Cambria Math"/>
            </w:rPr>
            <m:t>y</m:t>
          </m:r>
          <m:r>
            <w:rPr>
              <w:rFonts w:ascii="Cambria Math" w:hAnsi="Cambria Math"/>
            </w:rPr>
            <m:t>(</m:t>
          </m:r>
          <m:r>
            <w:rPr>
              <w:rFonts w:ascii="Cambria Math" w:hAnsi="Cambria Math"/>
            </w:rPr>
            <m:t>y</m:t>
          </m:r>
          <m:r>
            <w:rPr>
              <w:rFonts w:ascii="Cambria Math" w:hAnsi="Cambria Math"/>
            </w:rPr>
            <m:t> </m:t>
          </m:r>
          <m:r>
            <m:rPr>
              <m:sty m:val="p"/>
            </m:rPr>
            <w:rPr>
              <w:rFonts w:ascii="Cambria Math" w:hAnsi="Cambria Math"/>
            </w:rPr>
            <m:t>is</m:t>
          </m:r>
          <m:r>
            <w:rPr>
              <w:rFonts w:ascii="Cambria Math" w:hAnsi="Cambria Math"/>
            </w:rPr>
            <m:t> </m:t>
          </m:r>
          <m:r>
            <m:rPr>
              <m:sty m:val="p"/>
            </m:rPr>
            <w:rPr>
              <w:rFonts w:ascii="Cambria Math" w:hAnsi="Cambria Math"/>
            </w:rPr>
            <m:t>rational</m:t>
          </m:r>
          <m:r>
            <w:rPr>
              <w:rFonts w:ascii="Cambria Math" w:hAnsi="Cambria Math"/>
            </w:rPr>
            <m:t>→</m:t>
          </m:r>
          <m:r>
            <w:rPr>
              <w:rFonts w:ascii="Cambria Math" w:hAnsi="Cambria Math"/>
            </w:rPr>
            <m:t>Fy</m:t>
          </m:r>
          <m:r>
            <w:rPr>
              <w:rFonts w:ascii="Cambria Math" w:hAnsi="Cambria Math"/>
            </w:rPr>
            <m:t>)</m:t>
          </m:r>
        </m:oMath>
      </m:oMathPara>
    </w:p>
    <w:p w:rsidR="00A57BD4" w:rsidRDefault="00CF1F6B">
      <w:pPr>
        <w:pStyle w:val="FirstParagraph"/>
      </w:pPr>
      <w:r>
        <w:t xml:space="preserve">These might </w:t>
      </w:r>
      <w:r>
        <w:t xml:space="preserve">be thought of as respectively </w:t>
      </w:r>
      <w:r>
        <w:rPr>
          <w:i/>
        </w:rPr>
        <w:t>thin</w:t>
      </w:r>
      <w:r>
        <w:t xml:space="preserve"> and </w:t>
      </w:r>
      <w:r>
        <w:rPr>
          <w:i/>
        </w:rPr>
        <w:t>thick</w:t>
      </w:r>
      <w:r>
        <w:t xml:space="preserve"> reifications of the property of being rational.</w:t>
      </w:r>
    </w:p>
    <w:p w:rsidR="00A57BD4" w:rsidRDefault="00CF1F6B">
      <w:pPr>
        <w:pStyle w:val="BodyText"/>
      </w:pPr>
      <w:r>
        <w:lastRenderedPageBreak/>
        <w:t>Broome remarks that the object he calls reified Rationality is very far from the property of rationality possessed by persons. Indeed it is. In the axiomatic syste</w:t>
      </w:r>
      <w:r>
        <w:t>m in view here, it is in a different ontological category. Rationality as reified will be an individual, not a property. Persons can exemplify the property of rationality; they cannot exemplify the individual Rationality, because individuals cannot be exem</w:t>
      </w:r>
      <w:r>
        <w:t>plified. This is not quite what Broome has in mind when he brings out the distance between rationality and Rationality, of course, because he does not provide the details of a metaphysical system that would support his distinction between rationality and R</w:t>
      </w:r>
      <w:r>
        <w:t>ationality. But neither is this way of making his distinction precise ruled out by anything Broome has said.</w:t>
      </w:r>
    </w:p>
    <w:p w:rsidR="00D6651E" w:rsidRDefault="00CF1F6B" w:rsidP="009E15A5">
      <w:pPr>
        <w:pStyle w:val="BodyText"/>
      </w:pPr>
      <w:r>
        <w:t xml:space="preserve">This suggestion does not yet say how the reified property Rationality and the property rationality can function differently in the way Broome says </w:t>
      </w:r>
      <w:r>
        <w:t>they do. There is not space enough here to work that out, but perhaps some hints can be found in the applications of abstract objects to Plato’s Forms and Leibniz’s concepts. ([Zalta 1983] and [Zalta 2000]).</w:t>
      </w:r>
    </w:p>
    <w:p w:rsidR="00A57BD4" w:rsidRDefault="00CF1F6B">
      <w:pPr>
        <w:pStyle w:val="Heading1"/>
      </w:pPr>
      <w:bookmarkStart w:id="5" w:name="conclusion"/>
      <w:r>
        <w:t>Conclusion</w:t>
      </w:r>
      <w:bookmarkEnd w:id="5"/>
    </w:p>
    <w:p w:rsidR="009E15A5" w:rsidRDefault="00CF1F6B" w:rsidP="00BE7B21">
      <w:pPr>
        <w:pStyle w:val="FirstParagraph"/>
      </w:pPr>
      <w:r>
        <w:t xml:space="preserve">By bringing to bear the resources of </w:t>
      </w:r>
      <w:r>
        <w:t xml:space="preserve">a formalized theory of properties and a formalized theory of abstract objects, Broome could be more precise about the way that rationality and normativity are distinct </w:t>
      </w:r>
      <w:r w:rsidR="001357F0">
        <w:t>properties and</w:t>
      </w:r>
      <w:r>
        <w:t xml:space="preserve"> clarify exactly what the reified properties are. Attending to these meta</w:t>
      </w:r>
      <w:r>
        <w:t>physical issues would support and strengthen Broome’s meta-ethical project.</w:t>
      </w:r>
      <w:bookmarkStart w:id="6" w:name="references"/>
    </w:p>
    <w:p w:rsidR="009E15A5" w:rsidRDefault="009E15A5" w:rsidP="009E15A5">
      <w:pPr>
        <w:pStyle w:val="Heading1"/>
      </w:pPr>
      <w:r>
        <w:t>Acknowledgements</w:t>
      </w:r>
    </w:p>
    <w:p w:rsidR="009E15A5" w:rsidRDefault="009E15A5" w:rsidP="009E15A5">
      <w:pPr>
        <w:pStyle w:val="BodyText"/>
      </w:pPr>
      <w:r>
        <w:t>Uri Nodelman has been supportive throughout</w:t>
      </w:r>
      <w:r w:rsidR="00603D69">
        <w:t xml:space="preserve"> and</w:t>
      </w:r>
      <w:r>
        <w:t xml:space="preserve"> ma</w:t>
      </w:r>
      <w:r w:rsidR="00603D69">
        <w:t>de</w:t>
      </w:r>
      <w:r>
        <w:t xml:space="preserve"> many suggestions for improvement</w:t>
      </w:r>
      <w:r w:rsidR="004D7925">
        <w:t xml:space="preserve">.  </w:t>
      </w:r>
      <w:r>
        <w:t>Fred Kroon, Paulo Santos, and Brigitte Everett were kind enough to read previous drafts and make suggestions.  Thanks also to John Broome for expressing interest in the metaphysical questions I asked after he presented the target article at the University of Adelaide, and to Garrett Cullity for encouraging submission of these metaphysical questions to an ethics-focused symposium.</w:t>
      </w:r>
    </w:p>
    <w:p w:rsidR="001357F0" w:rsidRDefault="001357F0" w:rsidP="001357F0">
      <w:pPr>
        <w:pStyle w:val="Heading1"/>
      </w:pPr>
      <w:r>
        <w:t>Disclosure Statement</w:t>
      </w:r>
    </w:p>
    <w:p w:rsidR="001357F0" w:rsidRPr="00EB3F37" w:rsidRDefault="001357F0" w:rsidP="009E15A5">
      <w:pPr>
        <w:pStyle w:val="BodyText"/>
        <w:rPr>
          <w:lang w:val="en-GB"/>
        </w:rPr>
      </w:pPr>
      <w:r>
        <w:rPr>
          <w:lang w:val="en-GB"/>
        </w:rPr>
        <w:t>The author reports no known potential conflict of interest.</w:t>
      </w:r>
    </w:p>
    <w:p w:rsidR="00603D69" w:rsidRDefault="00603D69">
      <w:pPr>
        <w:pStyle w:val="Heading1"/>
      </w:pPr>
    </w:p>
    <w:p w:rsidR="00603D69" w:rsidRDefault="00603D69" w:rsidP="00603D69">
      <w:pPr>
        <w:pStyle w:val="Heading1"/>
      </w:pPr>
      <w:r>
        <w:t>ORCID</w:t>
      </w:r>
    </w:p>
    <w:p w:rsidR="001E5B74" w:rsidRPr="001E5B74" w:rsidRDefault="001E5B74" w:rsidP="001E5B74">
      <w:pPr>
        <w:rPr>
          <w:rFonts w:ascii="Times New Roman" w:eastAsia="Times New Roman" w:hAnsi="Times New Roman" w:cs="Times New Roman"/>
          <w:lang w:val="de-DE" w:eastAsia="en-GB" w:bidi="he-IL"/>
        </w:rPr>
      </w:pPr>
      <w:r w:rsidRPr="001E5B74">
        <w:rPr>
          <w:i/>
          <w:iCs/>
          <w:lang w:val="de-DE"/>
        </w:rPr>
        <w:t xml:space="preserve">Paul Oppenheimer </w:t>
      </w:r>
      <w:r w:rsidRPr="001E5B74">
        <w:rPr>
          <w:rFonts w:ascii="Arial" w:eastAsia="Times New Roman" w:hAnsi="Arial" w:cs="Arial"/>
          <w:color w:val="494A4C"/>
          <w:sz w:val="18"/>
          <w:szCs w:val="18"/>
          <w:lang w:val="de-DE" w:eastAsia="en-GB" w:bidi="he-IL"/>
        </w:rPr>
        <w:t>https://orcid.org/0000-0003-0194-0611</w:t>
      </w:r>
    </w:p>
    <w:p w:rsidR="00603D69" w:rsidRPr="001E5B74" w:rsidRDefault="00603D69" w:rsidP="001E5B74">
      <w:pPr>
        <w:pStyle w:val="BodyText"/>
        <w:rPr>
          <w:lang w:val="de-DE"/>
        </w:rPr>
      </w:pPr>
    </w:p>
    <w:p w:rsidR="00A57BD4" w:rsidRDefault="00CF1F6B">
      <w:pPr>
        <w:pStyle w:val="Heading1"/>
      </w:pPr>
      <w:r>
        <w:lastRenderedPageBreak/>
        <w:t>References</w:t>
      </w:r>
      <w:bookmarkEnd w:id="6"/>
    </w:p>
    <w:p w:rsidR="00A57BD4" w:rsidRDefault="00CF1F6B">
      <w:pPr>
        <w:pStyle w:val="Bibliography"/>
      </w:pPr>
      <w:bookmarkStart w:id="7" w:name="ref-target"/>
      <w:bookmarkStart w:id="8" w:name="refs"/>
      <w:r>
        <w:t xml:space="preserve">Broome, J. 2020. Rationality Versus Normativity. </w:t>
      </w:r>
      <w:r>
        <w:rPr>
          <w:i/>
        </w:rPr>
        <w:t>Australian Philosophical Review</w:t>
      </w:r>
      <w:r>
        <w:t xml:space="preserve">, </w:t>
      </w:r>
      <w:r w:rsidRPr="00D6651E">
        <w:rPr>
          <w:iCs/>
        </w:rPr>
        <w:t>5</w:t>
      </w:r>
      <w:r w:rsidR="00D6651E">
        <w:t>/</w:t>
      </w:r>
      <w:r>
        <w:t>1</w:t>
      </w:r>
      <w:r>
        <w:t>.</w:t>
      </w:r>
    </w:p>
    <w:p w:rsidR="00A57BD4" w:rsidRDefault="00CF1F6B">
      <w:pPr>
        <w:pStyle w:val="Bibliography"/>
      </w:pPr>
      <w:bookmarkStart w:id="9" w:name="ref-Castaneda:1972"/>
      <w:bookmarkEnd w:id="7"/>
      <w:r>
        <w:t xml:space="preserve">Castañeda, H.-N. 1972. Thinking and the Structure of the World. </w:t>
      </w:r>
      <w:r>
        <w:rPr>
          <w:i/>
        </w:rPr>
        <w:t>Critica</w:t>
      </w:r>
      <w:r>
        <w:t xml:space="preserve"> </w:t>
      </w:r>
      <w:r w:rsidRPr="00D6651E">
        <w:rPr>
          <w:iCs/>
        </w:rPr>
        <w:t>6</w:t>
      </w:r>
      <w:r w:rsidR="00D6651E">
        <w:t>:</w:t>
      </w:r>
      <w:r>
        <w:t xml:space="preserve"> 43–86.</w:t>
      </w:r>
    </w:p>
    <w:p w:rsidR="00A57BD4" w:rsidRDefault="00CF1F6B">
      <w:pPr>
        <w:pStyle w:val="Bibliography"/>
      </w:pPr>
      <w:bookmarkStart w:id="10" w:name="ref-sep-properties"/>
      <w:bookmarkEnd w:id="9"/>
      <w:r>
        <w:t xml:space="preserve">Orilia, F., </w:t>
      </w:r>
      <w:r w:rsidR="00603D69">
        <w:t>and</w:t>
      </w:r>
      <w:r>
        <w:t xml:space="preserve"> Swoyer, C. 2017. Properties. In E. N. Zalta (Ed.), </w:t>
      </w:r>
      <w:r>
        <w:rPr>
          <w:i/>
        </w:rPr>
        <w:t xml:space="preserve">The </w:t>
      </w:r>
      <w:r w:rsidR="00D6651E">
        <w:rPr>
          <w:i/>
        </w:rPr>
        <w:t>S</w:t>
      </w:r>
      <w:r>
        <w:rPr>
          <w:i/>
        </w:rPr>
        <w:t xml:space="preserve">tanford </w:t>
      </w:r>
      <w:r w:rsidR="00D6651E">
        <w:rPr>
          <w:i/>
        </w:rPr>
        <w:t>E</w:t>
      </w:r>
      <w:r>
        <w:rPr>
          <w:i/>
        </w:rPr>
        <w:t xml:space="preserve">ncyclopedia of </w:t>
      </w:r>
      <w:r w:rsidR="00D6651E">
        <w:rPr>
          <w:i/>
        </w:rPr>
        <w:t>P</w:t>
      </w:r>
      <w:r>
        <w:rPr>
          <w:i/>
        </w:rPr>
        <w:t>hilosophy</w:t>
      </w:r>
      <w:r>
        <w:t xml:space="preserve"> (Winter 2017</w:t>
      </w:r>
      <w:r>
        <w:t xml:space="preserve">). </w:t>
      </w:r>
      <w:hyperlink r:id="rId7">
        <w:r>
          <w:rPr>
            <w:rStyle w:val="Hyperlink"/>
          </w:rPr>
          <w:t>https://plato.stanford.edu/archives/win2017/entries/properties/</w:t>
        </w:r>
      </w:hyperlink>
      <w:r>
        <w:t>; Metaphysics Research Lab, Stanford University.</w:t>
      </w:r>
    </w:p>
    <w:p w:rsidR="00A57BD4" w:rsidRDefault="00CF1F6B">
      <w:pPr>
        <w:pStyle w:val="Bibliography"/>
      </w:pPr>
      <w:bookmarkStart w:id="11" w:name="ref-Rapaport:1978"/>
      <w:bookmarkEnd w:id="10"/>
      <w:r>
        <w:t>Rapaport, W. J. 1978. Meinongian Theories and a Russellian Para</w:t>
      </w:r>
      <w:r>
        <w:t xml:space="preserve">dox. </w:t>
      </w:r>
      <w:r>
        <w:rPr>
          <w:i/>
        </w:rPr>
        <w:t>Noûs</w:t>
      </w:r>
      <w:r>
        <w:t xml:space="preserve"> </w:t>
      </w:r>
      <w:r w:rsidRPr="00D6651E">
        <w:rPr>
          <w:iCs/>
        </w:rPr>
        <w:t>12</w:t>
      </w:r>
      <w:r w:rsidR="00D6651E">
        <w:t>:</w:t>
      </w:r>
      <w:r>
        <w:t xml:space="preserve"> 153–180.</w:t>
      </w:r>
    </w:p>
    <w:p w:rsidR="00A57BD4" w:rsidRDefault="00CF1F6B">
      <w:pPr>
        <w:pStyle w:val="Bibliography"/>
      </w:pPr>
      <w:bookmarkStart w:id="12" w:name="ref-Sober:1982"/>
      <w:bookmarkEnd w:id="11"/>
      <w:r>
        <w:t xml:space="preserve">Sober, E. 1982. Why Logically Equivalent Predicates May Pick Out Different Properties. </w:t>
      </w:r>
      <w:r>
        <w:rPr>
          <w:i/>
        </w:rPr>
        <w:t>American Philosophical Quarterly</w:t>
      </w:r>
      <w:r>
        <w:t xml:space="preserve"> </w:t>
      </w:r>
      <w:r w:rsidRPr="00D6651E">
        <w:rPr>
          <w:iCs/>
        </w:rPr>
        <w:t>19</w:t>
      </w:r>
      <w:r w:rsidR="00D6651E">
        <w:t>/</w:t>
      </w:r>
      <w:r>
        <w:t>2</w:t>
      </w:r>
      <w:r w:rsidR="00D6651E">
        <w:t>:</w:t>
      </w:r>
      <w:r>
        <w:t xml:space="preserve"> 183–189. doi:</w:t>
      </w:r>
      <w:hyperlink r:id="rId8">
        <w:r>
          <w:rPr>
            <w:rStyle w:val="Hyperlink"/>
          </w:rPr>
          <w:t>10.2307/20013955</w:t>
        </w:r>
      </w:hyperlink>
    </w:p>
    <w:p w:rsidR="00A57BD4" w:rsidRDefault="00CF1F6B">
      <w:pPr>
        <w:pStyle w:val="Bibliography"/>
      </w:pPr>
      <w:bookmarkStart w:id="13" w:name="ref-Zalta:1983"/>
      <w:bookmarkEnd w:id="12"/>
      <w:r>
        <w:t xml:space="preserve">Zalta, E. N. 1983. </w:t>
      </w:r>
      <w:r>
        <w:rPr>
          <w:i/>
        </w:rPr>
        <w:t>Abs</w:t>
      </w:r>
      <w:r>
        <w:rPr>
          <w:i/>
        </w:rPr>
        <w:t>tract Objects: An Introduction to Axiomatic Metaphysics</w:t>
      </w:r>
      <w:r>
        <w:t>. D. Reidel.</w:t>
      </w:r>
    </w:p>
    <w:p w:rsidR="00A57BD4" w:rsidRDefault="00CF1F6B">
      <w:pPr>
        <w:pStyle w:val="Bibliography"/>
      </w:pPr>
      <w:bookmarkStart w:id="14" w:name="ref-Zalta:2000"/>
      <w:bookmarkEnd w:id="13"/>
      <w:r>
        <w:t xml:space="preserve">Zalta, E. N. 2000. A (Leibnizian) Theory of Concepts. </w:t>
      </w:r>
      <w:r>
        <w:rPr>
          <w:i/>
        </w:rPr>
        <w:t>Philosophiegeschichte Und Logische Analyse / Logical Analysis and History of Philosophy</w:t>
      </w:r>
      <w:r>
        <w:t xml:space="preserve"> </w:t>
      </w:r>
      <w:r w:rsidRPr="00D6651E">
        <w:rPr>
          <w:iCs/>
        </w:rPr>
        <w:t>3</w:t>
      </w:r>
      <w:r w:rsidR="00D6651E">
        <w:t>:</w:t>
      </w:r>
      <w:r>
        <w:t xml:space="preserve"> 137–183.</w:t>
      </w:r>
      <w:bookmarkEnd w:id="8"/>
      <w:bookmarkEnd w:id="14"/>
    </w:p>
    <w:sectPr w:rsidR="00A57BD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F1F6B" w:rsidRDefault="00CF1F6B">
      <w:pPr>
        <w:spacing w:after="0"/>
      </w:pPr>
      <w:r>
        <w:separator/>
      </w:r>
    </w:p>
  </w:endnote>
  <w:endnote w:type="continuationSeparator" w:id="0">
    <w:p w:rsidR="00CF1F6B" w:rsidRDefault="00CF1F6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F1F6B" w:rsidRDefault="00CF1F6B">
      <w:r>
        <w:separator/>
      </w:r>
    </w:p>
  </w:footnote>
  <w:footnote w:type="continuationSeparator" w:id="0">
    <w:p w:rsidR="00CF1F6B" w:rsidRDefault="00CF1F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EA454B4C"/>
    <w:multiLevelType w:val="multilevel"/>
    <w:tmpl w:val="298A0728"/>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1" w15:restartNumberingAfterBreak="0">
    <w:nsid w:val="FFFFFF7C"/>
    <w:multiLevelType w:val="singleLevel"/>
    <w:tmpl w:val="697AFBA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41CEF74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5A60666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CE8A11A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2AB2439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6B67D7E"/>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DF8EF1C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E760D14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DCFC6B9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8B0A752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C1AE401"/>
    <w:multiLevelType w:val="multilevel"/>
    <w:tmpl w:val="399A122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71315DCA"/>
    <w:multiLevelType w:val="multilevel"/>
    <w:tmpl w:val="01F43776"/>
    <w:lvl w:ilvl="0">
      <w:start w:val="1"/>
      <w:numFmt w:val="decimal"/>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Roman"/>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Roman"/>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Roman"/>
      <w:lvlText w:val="%9."/>
      <w:lvlJc w:val="left"/>
      <w:pPr>
        <w:tabs>
          <w:tab w:val="num" w:pos="5760"/>
        </w:tabs>
        <w:ind w:left="6240" w:hanging="480"/>
      </w:pPr>
    </w:lvl>
  </w:abstractNum>
  <w:num w:numId="1">
    <w:abstractNumId w:val="11"/>
  </w:num>
  <w:num w:numId="2">
    <w:abstractNumId w:val="0"/>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2"/>
  </w:num>
  <w:num w:numId="11">
    <w:abstractNumId w:val="3"/>
  </w:num>
  <w:num w:numId="12">
    <w:abstractNumId w:val="4"/>
  </w:num>
  <w:num w:numId="13">
    <w:abstractNumId w:val="9"/>
  </w:num>
  <w:num w:numId="14">
    <w:abstractNumId w:val="5"/>
  </w:num>
  <w:num w:numId="15">
    <w:abstractNumId w:val="6"/>
  </w:num>
  <w:num w:numId="16">
    <w:abstractNumId w:val="7"/>
  </w:num>
  <w:num w:numId="17">
    <w:abstractNumId w:val="8"/>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90D07"/>
    <w:rsid w:val="00011C8B"/>
    <w:rsid w:val="001357F0"/>
    <w:rsid w:val="001E5B74"/>
    <w:rsid w:val="0040057E"/>
    <w:rsid w:val="004D7925"/>
    <w:rsid w:val="004E29B3"/>
    <w:rsid w:val="00590D07"/>
    <w:rsid w:val="00603D69"/>
    <w:rsid w:val="00784D58"/>
    <w:rsid w:val="008D6863"/>
    <w:rsid w:val="009E15A5"/>
    <w:rsid w:val="00A57BD4"/>
    <w:rsid w:val="00B86B75"/>
    <w:rsid w:val="00BC48D5"/>
    <w:rsid w:val="00BE7B21"/>
    <w:rsid w:val="00C36279"/>
    <w:rsid w:val="00CF1F6B"/>
    <w:rsid w:val="00D6651E"/>
    <w:rsid w:val="00DD5B06"/>
    <w:rsid w:val="00E315A3"/>
    <w:rsid w:val="00EB3F37"/>
  </w:rsids>
  <m:mathPr>
    <m:mathFont m:val="Cambria Math"/>
    <m:brkBin m:val="before"/>
    <m:brkBinSub m:val="--"/>
    <m:smallFrac m:val="0"/>
    <m:dispDef m:val="0"/>
    <m:lMargin m:val="0"/>
    <m:rMargin m:val="0"/>
    <m:defJc m:val="centerGroup"/>
    <m:wrapRight/>
    <m:intLim m:val="subSup"/>
    <m:naryLim m:val="subSup"/>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76E191BF"/>
  <w15:docId w15:val="{5CC0E1C4-D92A-684B-95DE-61CF742D8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1" w:uiPriority="9" w:qFormat="1"/>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customStyle="1" w:styleId="Heading1Char">
    <w:name w:val="Heading 1 Char"/>
    <w:basedOn w:val="DefaultParagraphFont"/>
    <w:link w:val="Heading1"/>
    <w:uiPriority w:val="9"/>
    <w:rsid w:val="009E15A5"/>
    <w:rPr>
      <w:rFonts w:asciiTheme="majorHAnsi" w:eastAsiaTheme="majorEastAsia" w:hAnsiTheme="majorHAnsi" w:cstheme="majorBidi"/>
      <w:b/>
      <w:bCs/>
      <w:color w:val="4F81BD" w:themeColor="accent1"/>
      <w:sz w:val="32"/>
      <w:szCs w:val="32"/>
    </w:rPr>
  </w:style>
  <w:style w:type="character" w:customStyle="1" w:styleId="orcid-id-https">
    <w:name w:val="orcid-id-https"/>
    <w:basedOn w:val="DefaultParagraphFont"/>
    <w:rsid w:val="001E5B74"/>
  </w:style>
  <w:style w:type="character" w:customStyle="1" w:styleId="BodyTextChar">
    <w:name w:val="Body Text Char"/>
    <w:basedOn w:val="DefaultParagraphFont"/>
    <w:link w:val="BodyText"/>
    <w:rsid w:val="001E5B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92088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307/20013955" TargetMode="External"/><Relationship Id="rId3" Type="http://schemas.openxmlformats.org/officeDocument/2006/relationships/settings" Target="settings.xml"/><Relationship Id="rId7" Type="http://schemas.openxmlformats.org/officeDocument/2006/relationships/hyperlink" Target="https://plato.stanford.edu/archives/win2017/entries/properti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7</Pages>
  <Words>2645</Words>
  <Characters>15077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Broome on Rationality and Normativity</vt:lpstr>
    </vt:vector>
  </TitlesOfParts>
  <Company>Stanford University</Company>
  <LinksUpToDate>false</LinksUpToDate>
  <CharactersWithSpaces>17687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Broome on Rationality and Normativity</dc:title>
  <dc:creator>Paul Oppenheimer</dc:creator>
  <cp:keywords/>
  <cp:lastModifiedBy>Paul Oppenheimer</cp:lastModifiedBy>
  <cp:revision>8</cp:revision>
  <dcterms:created xsi:type="dcterms:W3CDTF">2020-02-06T05:22:00Z</dcterms:created>
  <dcterms:modified xsi:type="dcterms:W3CDTF">2020-02-06T06:00:00Z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graphy">
    <vt:lpwstr>main.bib</vt:lpwstr>
  </property>
  <property fmtid="{D5CDD505-2E9C-101B-9397-08002B2CF9AE}" pid="3" name="csl">
    <vt:lpwstr>test.csl</vt:lpwstr>
  </property>
  <property fmtid="{D5CDD505-2E9C-101B-9397-08002B2CF9AE}" pid="4" name="date">
    <vt:lpwstr/>
  </property>
</Properties>
</file>